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Wynn Field Insurance Agency</w:t>
      </w:r>
    </w:p>
    <w:p>
      <w:pPr>
        <w:pStyle w:val="Subtitle"/>
      </w:pPr>
      <w:r>
        <w:t>Capabilities Statement</w:t>
      </w:r>
    </w:p>
    <w:p>
      <w:r>
        <w:rPr>
          <w:b/>
        </w:rPr>
        <w:t>Insurance assistance for individuals families and businesses</w:t>
      </w:r>
    </w:p>
    <w:p>
      <w:r>
        <w:t>833-802-WYNN (9966)  |  info@wynnfieldenterprises.com</w:t>
        <w:br/>
        <w:t>Enterprise contact  wynnfieldenterprises.com</w:t>
      </w:r>
    </w:p>
    <w:p>
      <w:r>
        <w:t>Wynn Field Insurance Agency helps individuals, families and businesses explore coverage options and navigate insurance decisions. We welcome employer, community and referral partnerships that improve access to coverage and informed choices.</w:t>
      </w:r>
    </w:p>
    <w:p>
      <w:pPr>
        <w:pStyle w:val="Heading1"/>
      </w:pPr>
      <w:r>
        <w:t>Core Capabilities</w:t>
      </w:r>
    </w:p>
    <w:p>
      <w:r>
        <w:rPr>
          <w:b/>
        </w:rPr>
        <w:t xml:space="preserve">Health Insurance  </w:t>
      </w:r>
      <w:r>
        <w:t>Individual and family health coverage assistance and enrollment support.</w:t>
      </w:r>
    </w:p>
    <w:p>
      <w:r>
        <w:rPr>
          <w:b/>
        </w:rPr>
        <w:t xml:space="preserve">Life Insurance  </w:t>
      </w:r>
      <w:r>
        <w:t>Coverage discussions and application coordination to support family and financial protection.</w:t>
      </w:r>
    </w:p>
    <w:p>
      <w:r>
        <w:rPr>
          <w:b/>
        </w:rPr>
        <w:t xml:space="preserve">Personal Insurance  </w:t>
      </w:r>
      <w:r>
        <w:t>Auto and property insurance assistance based on client needs and available markets.</w:t>
      </w:r>
    </w:p>
    <w:p>
      <w:r>
        <w:rPr>
          <w:b/>
        </w:rPr>
        <w:t xml:space="preserve">Commercial Insurance  </w:t>
      </w:r>
      <w:r>
        <w:t>Business coverage inquiries, quote coordination and policy service support.</w:t>
      </w:r>
    </w:p>
    <w:p>
      <w:pPr>
        <w:pStyle w:val="Heading1"/>
      </w:pPr>
      <w:r>
        <w:t>Differentiators</w:t>
      </w:r>
    </w:p>
    <w:p>
      <w:pPr>
        <w:pStyle w:val="ListBullet"/>
      </w:pPr>
      <w:r>
        <w:t>Access to a broader ecosystem of home care, professional services and community development.</w:t>
      </w:r>
    </w:p>
    <w:p>
      <w:pPr>
        <w:pStyle w:val="ListBullet"/>
      </w:pPr>
      <w:r>
        <w:t>Clear client communication and a service approach centered on transparency and dignity.</w:t>
      </w:r>
    </w:p>
    <w:p>
      <w:pPr>
        <w:pStyle w:val="ListBullet"/>
      </w:pPr>
      <w:r>
        <w:t>Relationship based support for coverage questions and referrals.</w:t>
      </w:r>
    </w:p>
    <w:p>
      <w:pPr>
        <w:pStyle w:val="Heading1"/>
      </w:pPr>
      <w:r>
        <w:t>Experience and Readiness</w:t>
      </w:r>
    </w:p>
    <w:p>
      <w:r>
        <w:t>Insurance work is delivered through the agency and appropriately licensed personnel. License numbers, carrier appointments, geographic authority and product availability must be verified for the proposed engagement.</w:t>
      </w:r>
    </w:p>
    <w:p>
      <w:pPr>
        <w:pStyle w:val="Heading1"/>
      </w:pPr>
      <w:r>
        <w:t>Partnership Opportunities</w:t>
      </w:r>
    </w:p>
    <w:p>
      <w:r>
        <w:t>Employers, community organizations, referral partners and individuals seeking coverage assistance.</w:t>
      </w:r>
    </w:p>
    <w:p>
      <w:pPr>
        <w:pStyle w:val="Heading1"/>
      </w:pPr>
      <w:r>
        <w:t>Business and Procurement Information</w:t>
      </w:r>
    </w:p>
    <w:p>
      <w:r>
        <w:t>Legal contracting entity  [Insert registered name]  |  SAM registration  Planned</w:t>
        <w:br/>
        <w:t>UEI  [Insert this business’s UEI]  |  CAGE  [Insert assigned code]</w:t>
        <w:br/>
        <w:t>Licenses and certifications  [Insert verified credentials]</w:t>
      </w:r>
    </w:p>
    <w:p>
      <w:pPr>
        <w:pStyle w:val="Heading1"/>
      </w:pPr>
      <w:r>
        <w:t>Recommended Service Classifications</w:t>
      </w:r>
    </w:p>
    <w:p>
      <w:pPr>
        <w:keepNext/>
        <w:spacing w:after="60"/>
      </w:pPr>
      <w:r>
        <w:rPr>
          <w:b/>
        </w:rPr>
        <w:t xml:space="preserve">Primary NAICS  </w:t>
      </w:r>
      <w:r>
        <w:t>524210 — Insurance Agencies and Brokerages</w:t>
      </w:r>
    </w:p>
    <w:p>
      <w:pPr>
        <w:keepNext/>
        <w:spacing w:after="60"/>
      </w:pPr>
      <w:r>
        <w:rPr>
          <w:b/>
        </w:rPr>
        <w:t xml:space="preserve">Additional NAICS  </w:t>
      </w:r>
      <w:r>
        <w:t>None recommended for the described scope.</w:t>
      </w:r>
    </w:p>
    <w:p>
      <w:pPr>
        <w:keepNext/>
        <w:spacing w:after="60"/>
      </w:pPr>
      <w:r>
        <w:rPr>
          <w:b/>
        </w:rPr>
        <w:t xml:space="preserve">PSC  </w:t>
      </w:r>
      <w:r>
        <w:t>G009 — Social: Non-Government Insurance Programs</w:t>
      </w:r>
    </w:p>
    <w:p>
      <w:pPr>
        <w:keepNext/>
        <w:spacing w:after="60"/>
      </w:pPr>
      <w:r>
        <w:rPr>
          <w:b/>
        </w:rPr>
        <w:t xml:space="preserve">UNSPSC  </w:t>
      </w:r>
      <w:r>
        <w:t>84131500 — Insurance services for structures and property and possessions; 84131600 — Life and health and accident insurance</w:t>
      </w:r>
    </w:p>
    <w:p>
      <w:r>
        <w:rPr>
          <w:sz w:val="18"/>
        </w:rPr>
        <w:t>Insurance services remain subject to verified licensing and appointments.</w:t>
      </w:r>
    </w:p>
    <w:p>
      <w:r>
        <w:rPr>
          <w:i/>
          <w:sz w:val="16"/>
        </w:rPr>
        <w:t>Recommended codes are based on the described services; confirm against actual business activity and the buyer’s code set. Each business maintains separate registrations and credentials. Sources: Census 2022 NAICS (census.gov/naics); GSA PSC Manual, April 2025 (acquisition.gov/psc-manual); UNGM UNSPSC listings (ungm.org/public/unspsc).</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Calibri" w:hAnsi="Calibri"/>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Calibri" w:hAnsi="Calibr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Calibri" w:hAnsi="Calibri"/>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Calibri" w:hAnsi="Calibri"/>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Calibri" w:hAnsi="Calibri"/>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Calibri" w:hAnsi="Calibr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Calibri" w:hAnsi="Calibri"/>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Calibri" w:hAnsi="Calibri"/>
      <w:color w:val="000000"/>
    </w:rPr>
  </w:style>
  <w:style w:type="paragraph" w:styleId="BodyText">
    <w:name w:val="Body Text"/>
    <w:basedOn w:val="Normal"/>
    <w:link w:val="BodyTextChar"/>
    <w:uiPriority w:val="99"/>
    <w:unhideWhenUsed/>
    <w:rsid w:val="00AA1D8D"/>
    <w:pPr>
      <w:spacing w:after="120"/>
    </w:pPr>
    <w:rPr>
      <w:rFonts w:ascii="Calibri" w:hAnsi="Calibri"/>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Calibri" w:hAnsi="Calibri"/>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Calibri" w:hAnsi="Calibri"/>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Calibri" w:hAnsi="Calibri"/>
      <w:color w:val="000000"/>
    </w:rPr>
  </w:style>
  <w:style w:type="paragraph" w:styleId="List2">
    <w:name w:val="List 2"/>
    <w:basedOn w:val="Normal"/>
    <w:uiPriority w:val="99"/>
    <w:unhideWhenUsed/>
    <w:rsid w:val="00326F90"/>
    <w:pPr>
      <w:ind w:left="720" w:hanging="360"/>
      <w:contextualSpacing/>
    </w:pPr>
    <w:rPr>
      <w:rFonts w:ascii="Calibri" w:hAnsi="Calibri"/>
      <w:color w:val="000000"/>
    </w:rPr>
  </w:style>
  <w:style w:type="paragraph" w:styleId="List3">
    <w:name w:val="List 3"/>
    <w:basedOn w:val="Normal"/>
    <w:uiPriority w:val="99"/>
    <w:unhideWhenUsed/>
    <w:rsid w:val="00326F90"/>
    <w:pPr>
      <w:ind w:left="1080" w:hanging="360"/>
      <w:contextualSpacing/>
    </w:pPr>
    <w:rPr>
      <w:rFonts w:ascii="Calibri" w:hAnsi="Calibri"/>
      <w:color w:val="000000"/>
    </w:rPr>
  </w:style>
  <w:style w:type="paragraph" w:styleId="ListBullet">
    <w:name w:val="List Bullet"/>
    <w:basedOn w:val="Normal"/>
    <w:uiPriority w:val="99"/>
    <w:unhideWhenUsed/>
    <w:rsid w:val="00326F90"/>
    <w:pPr>
      <w:numPr>
        <w:numId w:val="1"/>
      </w:numPr>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rPr>
      <w:rFonts w:ascii="Calibri" w:hAnsi="Calibri"/>
      <w:color w:val="000000"/>
    </w:rPr>
  </w:style>
  <w:style w:type="paragraph" w:styleId="ListBullet3">
    <w:name w:val="List Bullet 3"/>
    <w:basedOn w:val="Normal"/>
    <w:uiPriority w:val="99"/>
    <w:unhideWhenUsed/>
    <w:rsid w:val="00326F90"/>
    <w:pPr>
      <w:numPr>
        <w:numId w:val="3"/>
      </w:numPr>
      <w:contextualSpacing/>
    </w:pPr>
    <w:rPr>
      <w:rFonts w:ascii="Calibri" w:hAnsi="Calibri"/>
      <w:color w:val="000000"/>
    </w:rPr>
  </w:style>
  <w:style w:type="paragraph" w:styleId="ListNumber">
    <w:name w:val="List Number"/>
    <w:basedOn w:val="Normal"/>
    <w:uiPriority w:val="99"/>
    <w:unhideWhenUsed/>
    <w:rsid w:val="00326F90"/>
    <w:pPr>
      <w:numPr>
        <w:numId w:val="5"/>
      </w:numPr>
      <w:contextualSpacing/>
    </w:pPr>
    <w:rPr>
      <w:rFonts w:ascii="Calibri" w:hAnsi="Calibri"/>
      <w:color w:val="000000"/>
    </w:rPr>
  </w:style>
  <w:style w:type="paragraph" w:styleId="ListNumber2">
    <w:name w:val="List Number 2"/>
    <w:basedOn w:val="Normal"/>
    <w:uiPriority w:val="99"/>
    <w:unhideWhenUsed/>
    <w:rsid w:val="0029639D"/>
    <w:pPr>
      <w:numPr>
        <w:numId w:val="6"/>
      </w:numPr>
      <w:contextualSpacing/>
    </w:pPr>
    <w:rPr>
      <w:rFonts w:ascii="Calibri" w:hAnsi="Calibri"/>
      <w:color w:val="000000"/>
    </w:rPr>
  </w:style>
  <w:style w:type="paragraph" w:styleId="ListNumber3">
    <w:name w:val="List Number 3"/>
    <w:basedOn w:val="Normal"/>
    <w:uiPriority w:val="99"/>
    <w:unhideWhenUsed/>
    <w:rsid w:val="0029639D"/>
    <w:pPr>
      <w:numPr>
        <w:numId w:val="7"/>
      </w:numPr>
      <w:contextualSpacing/>
    </w:pPr>
    <w:rPr>
      <w:rFonts w:ascii="Calibri" w:hAnsi="Calibri"/>
      <w:color w:val="000000"/>
    </w:rPr>
  </w:style>
  <w:style w:type="paragraph" w:styleId="ListContinue">
    <w:name w:val="List Continue"/>
    <w:basedOn w:val="Normal"/>
    <w:uiPriority w:val="99"/>
    <w:unhideWhenUsed/>
    <w:rsid w:val="0029639D"/>
    <w:pPr>
      <w:spacing w:after="120"/>
      <w:ind w:left="360"/>
      <w:contextualSpacing/>
    </w:pPr>
    <w:rPr>
      <w:rFonts w:ascii="Calibri" w:hAnsi="Calibri"/>
      <w:color w:val="000000"/>
    </w:rPr>
  </w:style>
  <w:style w:type="paragraph" w:styleId="ListContinue2">
    <w:name w:val="List Continue 2"/>
    <w:basedOn w:val="Normal"/>
    <w:uiPriority w:val="99"/>
    <w:unhideWhenUsed/>
    <w:rsid w:val="0029639D"/>
    <w:pPr>
      <w:spacing w:after="120"/>
      <w:ind w:left="720"/>
      <w:contextualSpacing/>
    </w:pPr>
    <w:rPr>
      <w:rFonts w:ascii="Calibri" w:hAnsi="Calibri"/>
      <w:color w:val="000000"/>
    </w:rPr>
  </w:style>
  <w:style w:type="paragraph" w:styleId="ListContinue3">
    <w:name w:val="List Continue 3"/>
    <w:basedOn w:val="Normal"/>
    <w:uiPriority w:val="99"/>
    <w:unhideWhenUsed/>
    <w:rsid w:val="0029639D"/>
    <w:pPr>
      <w:spacing w:after="120"/>
      <w:ind w:left="1080"/>
      <w:contextualSpacing/>
    </w:pPr>
    <w:rPr>
      <w:rFonts w:ascii="Calibri" w:hAnsi="Calibri"/>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Calibri" w:hAnsi="Calibri"/>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Calibri" w:hAnsi="Calibri"/>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Calibri" w:hAnsi="Calibri"/>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Calibri" w:hAnsi="Calibri"/>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